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1E17" w:rsidRPr="003E152B" w:rsidRDefault="00111E17" w:rsidP="00111E17">
      <w:pPr>
        <w:pStyle w:val="Akapitzlist"/>
        <w:tabs>
          <w:tab w:val="left" w:pos="1418"/>
        </w:tabs>
        <w:jc w:val="right"/>
        <w:rPr>
          <w:b/>
          <w:sz w:val="28"/>
          <w:szCs w:val="28"/>
        </w:rPr>
      </w:pPr>
      <w:r w:rsidRPr="003E152B">
        <w:rPr>
          <w:b/>
          <w:sz w:val="28"/>
          <w:szCs w:val="28"/>
        </w:rPr>
        <w:t>Załącznik nr 1 do SIWZ – SOPZ</w:t>
      </w:r>
    </w:p>
    <w:p w:rsidR="00111E17" w:rsidRDefault="00111E17" w:rsidP="00111E17">
      <w:pPr>
        <w:pStyle w:val="Akapitzlist"/>
        <w:tabs>
          <w:tab w:val="left" w:pos="1418"/>
        </w:tabs>
        <w:jc w:val="right"/>
        <w:rPr>
          <w:b/>
        </w:rPr>
      </w:pPr>
    </w:p>
    <w:p w:rsidR="00111E17" w:rsidRPr="00C953DA" w:rsidRDefault="00111E17" w:rsidP="00111E17">
      <w:pPr>
        <w:jc w:val="both"/>
        <w:rPr>
          <w:rFonts w:asciiTheme="majorHAnsi" w:hAnsiTheme="majorHAnsi" w:cs="Arial"/>
          <w:b/>
          <w:bCs/>
        </w:rPr>
      </w:pPr>
      <w:r w:rsidRPr="00C953DA">
        <w:rPr>
          <w:rFonts w:asciiTheme="majorHAnsi" w:hAnsiTheme="majorHAnsi" w:cs="Arial"/>
          <w:b/>
          <w:bCs/>
        </w:rPr>
        <w:t>Zakup dostępu na jeden rok do danych nt. światowych gospodarek i przedsiębiorstw na rynkach międzynarodowych:</w:t>
      </w:r>
    </w:p>
    <w:p w:rsidR="00111E17" w:rsidRPr="00C953DA" w:rsidRDefault="00111E17" w:rsidP="00111E17">
      <w:pPr>
        <w:jc w:val="both"/>
        <w:rPr>
          <w:rFonts w:asciiTheme="majorHAnsi" w:hAnsiTheme="majorHAnsi" w:cs="Arial"/>
          <w:b/>
          <w:bCs/>
        </w:rPr>
      </w:pPr>
      <w:r w:rsidRPr="00C953DA">
        <w:rPr>
          <w:rFonts w:asciiTheme="majorHAnsi" w:hAnsiTheme="majorHAnsi" w:cs="Arial"/>
          <w:b/>
          <w:bCs/>
          <w:u w:val="single"/>
        </w:rPr>
        <w:t>Część I.</w:t>
      </w:r>
      <w:r w:rsidRPr="00C953DA">
        <w:rPr>
          <w:rFonts w:asciiTheme="majorHAnsi" w:hAnsiTheme="majorHAnsi" w:cs="Arial"/>
          <w:b/>
          <w:bCs/>
        </w:rPr>
        <w:t xml:space="preserve"> Zakup dostępu do serwisu internetowego stanowiącego agregat informacji nt. światowych gospodarek z zakresu makroekonomii, sektorów gospodarki, działalności spółek, artykułów prasowych, raportów analitycznych i aktów prawnych;</w:t>
      </w:r>
    </w:p>
    <w:p w:rsidR="00111E17" w:rsidRDefault="00111E17" w:rsidP="00111E17">
      <w:pPr>
        <w:jc w:val="both"/>
        <w:rPr>
          <w:rFonts w:asciiTheme="majorHAnsi" w:hAnsiTheme="majorHAnsi" w:cs="Arial"/>
          <w:b/>
          <w:bCs/>
        </w:rPr>
      </w:pPr>
      <w:r w:rsidRPr="00C953DA">
        <w:rPr>
          <w:rFonts w:asciiTheme="majorHAnsi" w:hAnsiTheme="majorHAnsi" w:cs="Arial"/>
          <w:b/>
          <w:bCs/>
          <w:u w:val="single"/>
        </w:rPr>
        <w:t>Część II.</w:t>
      </w:r>
      <w:r w:rsidRPr="00C953DA">
        <w:rPr>
          <w:rFonts w:asciiTheme="majorHAnsi" w:hAnsiTheme="majorHAnsi" w:cs="Arial"/>
          <w:b/>
          <w:bCs/>
        </w:rPr>
        <w:t xml:space="preserve"> Zakup dostępu do internetowej bazy marketingowej danych polskich i zagranicznych przedsiębiorstw;</w:t>
      </w:r>
    </w:p>
    <w:p w:rsidR="00111E17" w:rsidRPr="00C953DA" w:rsidRDefault="00111E17" w:rsidP="00111E17">
      <w:pPr>
        <w:jc w:val="both"/>
        <w:rPr>
          <w:rFonts w:asciiTheme="majorHAnsi" w:hAnsiTheme="majorHAnsi" w:cs="Arial"/>
          <w:b/>
          <w:bCs/>
        </w:rPr>
      </w:pPr>
      <w:r w:rsidRPr="00C953DA">
        <w:rPr>
          <w:rFonts w:asciiTheme="majorHAnsi" w:hAnsiTheme="majorHAnsi" w:cs="Arial"/>
          <w:b/>
          <w:bCs/>
          <w:u w:val="single"/>
        </w:rPr>
        <w:t>Część I</w:t>
      </w:r>
      <w:r>
        <w:rPr>
          <w:rFonts w:asciiTheme="majorHAnsi" w:hAnsiTheme="majorHAnsi" w:cs="Arial"/>
          <w:b/>
          <w:bCs/>
          <w:u w:val="single"/>
        </w:rPr>
        <w:t>II</w:t>
      </w:r>
      <w:r w:rsidRPr="00C953DA">
        <w:rPr>
          <w:rFonts w:asciiTheme="majorHAnsi" w:hAnsiTheme="majorHAnsi" w:cs="Arial"/>
          <w:b/>
          <w:bCs/>
          <w:u w:val="single"/>
        </w:rPr>
        <w:t>.</w:t>
      </w:r>
      <w:r w:rsidRPr="00C953DA">
        <w:rPr>
          <w:rFonts w:asciiTheme="majorHAnsi" w:hAnsiTheme="majorHAnsi" w:cs="Arial"/>
          <w:b/>
          <w:bCs/>
        </w:rPr>
        <w:t xml:space="preserve"> </w:t>
      </w:r>
      <w:bookmarkStart w:id="0" w:name="_Hlk518385653"/>
      <w:r w:rsidRPr="00C953DA">
        <w:rPr>
          <w:rFonts w:asciiTheme="majorHAnsi" w:hAnsiTheme="majorHAnsi" w:cs="Arial"/>
          <w:b/>
          <w:bCs/>
        </w:rPr>
        <w:t>Zakup dostępu do raportów umożliwiających analizę kondycji finansowej przedsiębiorstw polskich i zagranicznych i ryzyka współpracy z nimi</w:t>
      </w:r>
      <w:bookmarkEnd w:id="0"/>
      <w:r>
        <w:rPr>
          <w:rFonts w:asciiTheme="majorHAnsi" w:hAnsiTheme="majorHAnsi" w:cs="Arial"/>
          <w:b/>
          <w:bCs/>
        </w:rPr>
        <w:t>;</w:t>
      </w:r>
    </w:p>
    <w:p w:rsidR="00111E17" w:rsidRPr="00C953DA" w:rsidRDefault="00111E17" w:rsidP="00111E17">
      <w:pPr>
        <w:jc w:val="both"/>
        <w:rPr>
          <w:rFonts w:asciiTheme="majorHAnsi" w:hAnsiTheme="majorHAnsi" w:cs="Arial"/>
          <w:b/>
          <w:bCs/>
        </w:rPr>
      </w:pPr>
      <w:r w:rsidRPr="00C953DA">
        <w:rPr>
          <w:rFonts w:asciiTheme="majorHAnsi" w:hAnsiTheme="majorHAnsi" w:cs="Arial"/>
          <w:b/>
          <w:bCs/>
          <w:u w:val="single"/>
        </w:rPr>
        <w:t>Część I</w:t>
      </w:r>
      <w:r>
        <w:rPr>
          <w:rFonts w:asciiTheme="majorHAnsi" w:hAnsiTheme="majorHAnsi" w:cs="Arial"/>
          <w:b/>
          <w:bCs/>
          <w:u w:val="single"/>
        </w:rPr>
        <w:t>V</w:t>
      </w:r>
      <w:r w:rsidRPr="00C953DA">
        <w:rPr>
          <w:rFonts w:asciiTheme="majorHAnsi" w:hAnsiTheme="majorHAnsi" w:cs="Arial"/>
          <w:b/>
          <w:bCs/>
          <w:u w:val="single"/>
        </w:rPr>
        <w:t>.</w:t>
      </w:r>
      <w:r w:rsidRPr="00C953DA">
        <w:rPr>
          <w:rFonts w:asciiTheme="majorHAnsi" w:hAnsiTheme="majorHAnsi" w:cs="Arial"/>
          <w:b/>
          <w:bCs/>
          <w:color w:val="000000"/>
        </w:rPr>
        <w:t xml:space="preserve"> </w:t>
      </w:r>
      <w:r w:rsidRPr="00C953DA">
        <w:rPr>
          <w:rFonts w:asciiTheme="majorHAnsi" w:hAnsiTheme="majorHAnsi" w:cs="Arial"/>
          <w:b/>
          <w:bCs/>
          <w:u w:val="single"/>
        </w:rPr>
        <w:t>.</w:t>
      </w:r>
      <w:r w:rsidRPr="00C953DA">
        <w:rPr>
          <w:rFonts w:asciiTheme="majorHAnsi" w:hAnsiTheme="majorHAnsi" w:cs="Arial"/>
          <w:b/>
          <w:bCs/>
        </w:rPr>
        <w:t xml:space="preserve"> Zakup dostępu do serwisu internetowego stanowiącego agregat danych statystycznych wraz</w:t>
      </w:r>
      <w:r>
        <w:rPr>
          <w:rFonts w:asciiTheme="majorHAnsi" w:hAnsiTheme="majorHAnsi" w:cs="Arial"/>
          <w:b/>
          <w:bCs/>
        </w:rPr>
        <w:t> </w:t>
      </w:r>
      <w:r w:rsidRPr="00C953DA">
        <w:rPr>
          <w:rFonts w:asciiTheme="majorHAnsi" w:hAnsiTheme="majorHAnsi" w:cs="Arial"/>
          <w:b/>
          <w:bCs/>
        </w:rPr>
        <w:t>z</w:t>
      </w:r>
      <w:r>
        <w:rPr>
          <w:rFonts w:asciiTheme="majorHAnsi" w:hAnsiTheme="majorHAnsi" w:cs="Arial"/>
          <w:b/>
          <w:bCs/>
        </w:rPr>
        <w:t> </w:t>
      </w:r>
      <w:r w:rsidRPr="00C953DA">
        <w:rPr>
          <w:rFonts w:asciiTheme="majorHAnsi" w:hAnsiTheme="majorHAnsi" w:cs="Arial"/>
          <w:b/>
          <w:bCs/>
        </w:rPr>
        <w:t>narzędziami do analizy gospodarek i ich sektorów pod kątem kształtowania strategii eksportowych i prognozowania trendów rynkowych</w:t>
      </w:r>
      <w:r>
        <w:rPr>
          <w:rFonts w:asciiTheme="majorHAnsi" w:hAnsiTheme="majorHAnsi" w:cs="Arial"/>
          <w:b/>
          <w:bCs/>
        </w:rPr>
        <w:t>.</w:t>
      </w:r>
    </w:p>
    <w:p w:rsidR="00111E17" w:rsidRDefault="00111E17" w:rsidP="00111E17">
      <w:pPr>
        <w:pStyle w:val="Akapitzlist"/>
        <w:tabs>
          <w:tab w:val="left" w:pos="1418"/>
        </w:tabs>
        <w:rPr>
          <w:b/>
        </w:rPr>
      </w:pPr>
    </w:p>
    <w:p w:rsidR="00111E17" w:rsidRDefault="00111E17" w:rsidP="00111E17">
      <w:pPr>
        <w:pStyle w:val="Akapitzlist"/>
        <w:tabs>
          <w:tab w:val="left" w:pos="1418"/>
        </w:tabs>
        <w:rPr>
          <w:b/>
        </w:rPr>
      </w:pPr>
    </w:p>
    <w:p w:rsidR="00111E17" w:rsidRDefault="00111E17" w:rsidP="00111E17">
      <w:pPr>
        <w:pStyle w:val="Akapitzlist"/>
        <w:tabs>
          <w:tab w:val="left" w:pos="1418"/>
        </w:tabs>
        <w:rPr>
          <w:b/>
        </w:rPr>
      </w:pPr>
    </w:p>
    <w:p w:rsidR="00111E17" w:rsidRDefault="00111E17" w:rsidP="00111E17">
      <w:pPr>
        <w:pStyle w:val="Akapitzlist"/>
        <w:tabs>
          <w:tab w:val="left" w:pos="1418"/>
        </w:tabs>
        <w:jc w:val="center"/>
        <w:rPr>
          <w:b/>
          <w:sz w:val="32"/>
          <w:szCs w:val="32"/>
        </w:rPr>
      </w:pPr>
      <w:r w:rsidRPr="009C0C66">
        <w:rPr>
          <w:b/>
          <w:sz w:val="32"/>
          <w:szCs w:val="32"/>
        </w:rPr>
        <w:t>SZCZEGÓŁOWY OPIS PRZEDMIOTU ZAMÓWIENIA ( SOPZ )</w:t>
      </w:r>
    </w:p>
    <w:p w:rsidR="00111E17" w:rsidRPr="00C953DA" w:rsidRDefault="00111E17" w:rsidP="00111E17">
      <w:pPr>
        <w:jc w:val="both"/>
        <w:rPr>
          <w:rFonts w:asciiTheme="majorHAnsi" w:hAnsiTheme="majorHAnsi" w:cs="Arial"/>
          <w:bCs/>
        </w:rPr>
      </w:pPr>
      <w:r w:rsidRPr="00C953DA">
        <w:rPr>
          <w:rFonts w:asciiTheme="majorHAnsi" w:hAnsiTheme="majorHAnsi" w:cs="Arial"/>
        </w:rPr>
        <w:t xml:space="preserve">Przedmiotem zamówienia jest </w:t>
      </w:r>
      <w:r w:rsidRPr="00C953DA">
        <w:rPr>
          <w:rFonts w:asciiTheme="majorHAnsi" w:hAnsiTheme="majorHAnsi" w:cs="Arial"/>
          <w:bCs/>
        </w:rPr>
        <w:t xml:space="preserve">zakup dostępu na jeden rok od dnia zawarcia umowy do danych nt. światowych gospodarek i przedsiębiorstw na rynkach międzynarodowych - 4 części: </w:t>
      </w:r>
      <w:r w:rsidRPr="00C953DA">
        <w:rPr>
          <w:rFonts w:asciiTheme="majorHAnsi" w:hAnsiTheme="majorHAnsi" w:cs="Arial"/>
          <w:bCs/>
          <w:u w:val="single"/>
        </w:rPr>
        <w:t>Część I.</w:t>
      </w:r>
      <w:r w:rsidRPr="00C953DA">
        <w:rPr>
          <w:rFonts w:asciiTheme="majorHAnsi" w:hAnsiTheme="majorHAnsi" w:cs="Arial"/>
          <w:bCs/>
        </w:rPr>
        <w:t xml:space="preserve"> Zakup dostępu do serwisu internetowego stanowiącego agregat informacji nt. światowych gospodarek z zakresu makroekonomii, sektorów gospodarki, działalności spółek, artykułów prasowych, raportów analitycznych i aktów prawnych; </w:t>
      </w:r>
      <w:r w:rsidRPr="00C953DA">
        <w:rPr>
          <w:rFonts w:asciiTheme="majorHAnsi" w:hAnsiTheme="majorHAnsi" w:cs="Arial"/>
          <w:bCs/>
          <w:u w:val="single"/>
        </w:rPr>
        <w:t>Część II.</w:t>
      </w:r>
      <w:r w:rsidRPr="00C953DA">
        <w:rPr>
          <w:rFonts w:asciiTheme="majorHAnsi" w:hAnsiTheme="majorHAnsi" w:cs="Arial"/>
          <w:bCs/>
        </w:rPr>
        <w:t xml:space="preserve"> Zakup dostępu do internetowej bazy marketingowej danych polskich i zagranicznych przedsiębiorstw; </w:t>
      </w:r>
      <w:r w:rsidRPr="00C953DA">
        <w:rPr>
          <w:rFonts w:asciiTheme="majorHAnsi" w:hAnsiTheme="majorHAnsi" w:cs="Arial"/>
          <w:bCs/>
          <w:u w:val="single"/>
        </w:rPr>
        <w:t xml:space="preserve">Część </w:t>
      </w:r>
      <w:r>
        <w:rPr>
          <w:rFonts w:asciiTheme="majorHAnsi" w:hAnsiTheme="majorHAnsi" w:cs="Arial"/>
          <w:bCs/>
          <w:u w:val="single"/>
        </w:rPr>
        <w:t>III</w:t>
      </w:r>
      <w:r w:rsidRPr="00C953DA">
        <w:rPr>
          <w:rFonts w:asciiTheme="majorHAnsi" w:hAnsiTheme="majorHAnsi" w:cs="Arial"/>
          <w:bCs/>
          <w:u w:val="single"/>
        </w:rPr>
        <w:t>.</w:t>
      </w:r>
      <w:r w:rsidRPr="00C953DA">
        <w:rPr>
          <w:rFonts w:asciiTheme="majorHAnsi" w:hAnsiTheme="majorHAnsi" w:cs="Arial"/>
          <w:bCs/>
        </w:rPr>
        <w:t xml:space="preserve"> Zakup dostępu do raportów umożliwiających analizę kondycji finansowej przedsiębiorstw polskich i</w:t>
      </w:r>
      <w:r>
        <w:rPr>
          <w:rFonts w:asciiTheme="majorHAnsi" w:hAnsiTheme="majorHAnsi" w:cs="Arial"/>
          <w:bCs/>
        </w:rPr>
        <w:t> </w:t>
      </w:r>
      <w:r w:rsidRPr="00C953DA">
        <w:rPr>
          <w:rFonts w:asciiTheme="majorHAnsi" w:hAnsiTheme="majorHAnsi" w:cs="Arial"/>
          <w:bCs/>
        </w:rPr>
        <w:t>zagranicznych i ryzyka współpracy z nimi</w:t>
      </w:r>
      <w:r>
        <w:rPr>
          <w:rFonts w:asciiTheme="majorHAnsi" w:hAnsiTheme="majorHAnsi" w:cs="Arial"/>
          <w:bCs/>
        </w:rPr>
        <w:t xml:space="preserve">; </w:t>
      </w:r>
      <w:r w:rsidRPr="00C953DA">
        <w:rPr>
          <w:rFonts w:asciiTheme="majorHAnsi" w:hAnsiTheme="majorHAnsi" w:cs="Arial"/>
          <w:bCs/>
          <w:u w:val="single"/>
        </w:rPr>
        <w:t>Część</w:t>
      </w:r>
      <w:r>
        <w:rPr>
          <w:rFonts w:asciiTheme="majorHAnsi" w:hAnsiTheme="majorHAnsi" w:cs="Arial"/>
          <w:bCs/>
          <w:u w:val="single"/>
        </w:rPr>
        <w:t> </w:t>
      </w:r>
      <w:r w:rsidRPr="00C953DA">
        <w:rPr>
          <w:rFonts w:asciiTheme="majorHAnsi" w:hAnsiTheme="majorHAnsi" w:cs="Arial"/>
          <w:bCs/>
          <w:u w:val="single"/>
        </w:rPr>
        <w:t>I</w:t>
      </w:r>
      <w:r>
        <w:rPr>
          <w:rFonts w:asciiTheme="majorHAnsi" w:hAnsiTheme="majorHAnsi" w:cs="Arial"/>
          <w:bCs/>
          <w:u w:val="single"/>
        </w:rPr>
        <w:t>V</w:t>
      </w:r>
      <w:r w:rsidRPr="00C953DA">
        <w:rPr>
          <w:rFonts w:asciiTheme="majorHAnsi" w:hAnsiTheme="majorHAnsi" w:cs="Arial"/>
          <w:bCs/>
          <w:u w:val="single"/>
        </w:rPr>
        <w:t>.</w:t>
      </w:r>
      <w:r w:rsidRPr="00C953DA">
        <w:rPr>
          <w:rFonts w:asciiTheme="majorHAnsi" w:hAnsiTheme="majorHAnsi" w:cs="Arial"/>
          <w:bCs/>
          <w:color w:val="000000"/>
        </w:rPr>
        <w:t xml:space="preserve"> </w:t>
      </w:r>
      <w:r w:rsidRPr="00C953DA">
        <w:rPr>
          <w:rFonts w:asciiTheme="majorHAnsi" w:hAnsiTheme="majorHAnsi" w:cs="Arial"/>
          <w:bCs/>
        </w:rPr>
        <w:t>Zakup dostępu do serwisu internetowego stanowiącego agregat danych statystycznych wraz z narzędziami do analizy gospodarek i ich sektorów pod kątem kształtowania strategii eksportowych i prognozowania trendów rynkowych;</w:t>
      </w:r>
    </w:p>
    <w:p w:rsidR="00111E17" w:rsidRPr="00C953DA" w:rsidRDefault="00111E17" w:rsidP="00111E17">
      <w:pPr>
        <w:tabs>
          <w:tab w:val="num" w:pos="1440"/>
        </w:tabs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Przedmiot zamówienia podzielony jest na cztery części. Wykonawcy mogą składać ofertę na </w:t>
      </w:r>
      <w:r>
        <w:rPr>
          <w:rFonts w:asciiTheme="majorHAnsi" w:hAnsiTheme="majorHAnsi" w:cs="Arial"/>
        </w:rPr>
        <w:t xml:space="preserve">wybrane lub </w:t>
      </w:r>
      <w:r w:rsidRPr="00C953DA">
        <w:rPr>
          <w:rFonts w:asciiTheme="majorHAnsi" w:hAnsiTheme="majorHAnsi" w:cs="Arial"/>
        </w:rPr>
        <w:t>wszystkie części zamówienia.</w:t>
      </w:r>
    </w:p>
    <w:p w:rsidR="00111E17" w:rsidRDefault="00111E17" w:rsidP="00111E17">
      <w:pPr>
        <w:pStyle w:val="Akapitzlist"/>
        <w:tabs>
          <w:tab w:val="left" w:pos="1418"/>
        </w:tabs>
        <w:jc w:val="center"/>
        <w:rPr>
          <w:b/>
          <w:sz w:val="32"/>
          <w:szCs w:val="32"/>
        </w:rPr>
      </w:pPr>
    </w:p>
    <w:p w:rsidR="00111E17" w:rsidRPr="00C953DA" w:rsidRDefault="00111E17" w:rsidP="00111E17">
      <w:pPr>
        <w:jc w:val="both"/>
        <w:rPr>
          <w:rFonts w:asciiTheme="majorHAnsi" w:hAnsiTheme="majorHAnsi" w:cs="Arial"/>
          <w:b/>
          <w:bCs/>
        </w:rPr>
      </w:pPr>
      <w:r w:rsidRPr="00C953DA">
        <w:rPr>
          <w:rFonts w:asciiTheme="majorHAnsi" w:hAnsiTheme="majorHAnsi" w:cs="Arial"/>
          <w:b/>
          <w:bCs/>
          <w:u w:val="single"/>
        </w:rPr>
        <w:t>Część I.</w:t>
      </w:r>
      <w:r w:rsidRPr="00C953DA">
        <w:rPr>
          <w:rFonts w:asciiTheme="majorHAnsi" w:hAnsiTheme="majorHAnsi" w:cs="Arial"/>
          <w:b/>
          <w:bCs/>
        </w:rPr>
        <w:t xml:space="preserve"> Zakup dostępu do serwisu internetowego stanowiącego agregat informacji nt. światowych gospodarek z zakresu makroekonomii, sektorów gospodarki, działalności spółek, artykułów prasowych, raportów analitycznych i aktów prawnych;</w:t>
      </w:r>
    </w:p>
    <w:p w:rsidR="00111E17" w:rsidRPr="00C953DA" w:rsidRDefault="00111E17" w:rsidP="00111E17">
      <w:pPr>
        <w:pStyle w:val="Tekstpodstawowy"/>
        <w:spacing w:after="120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>Serwis musi oferować dostęp do następujących informacji w języku polskim i angielskim:</w:t>
      </w:r>
    </w:p>
    <w:p w:rsidR="00111E17" w:rsidRPr="00C953DA" w:rsidRDefault="00111E17" w:rsidP="00111E17">
      <w:pPr>
        <w:pStyle w:val="Tekstpodstawowy"/>
        <w:widowControl/>
        <w:numPr>
          <w:ilvl w:val="0"/>
          <w:numId w:val="1"/>
        </w:numPr>
        <w:autoSpaceDE/>
        <w:autoSpaceDN/>
        <w:spacing w:after="120"/>
        <w:jc w:val="both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>dostęp do pogłębionych analiz oraz raportów dotyczących poszczególnych sektorów gospodarki (co najmniej: motoryzacyjnego, lotniczego; maszynowego; BSS),</w:t>
      </w:r>
    </w:p>
    <w:p w:rsidR="00111E17" w:rsidRPr="00C953DA" w:rsidRDefault="00111E17" w:rsidP="00111E17">
      <w:pPr>
        <w:pStyle w:val="Tekstpodstawowy"/>
        <w:widowControl/>
        <w:numPr>
          <w:ilvl w:val="0"/>
          <w:numId w:val="1"/>
        </w:numPr>
        <w:autoSpaceDE/>
        <w:autoSpaceDN/>
        <w:spacing w:after="120"/>
        <w:jc w:val="both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 xml:space="preserve">dostęp do </w:t>
      </w:r>
      <w:r>
        <w:rPr>
          <w:rFonts w:asciiTheme="majorHAnsi" w:hAnsiTheme="majorHAnsi" w:cs="Arial"/>
          <w:sz w:val="22"/>
          <w:szCs w:val="22"/>
        </w:rPr>
        <w:t>informacji</w:t>
      </w:r>
      <w:r w:rsidRPr="00C953DA">
        <w:rPr>
          <w:rFonts w:asciiTheme="majorHAnsi" w:hAnsiTheme="majorHAnsi" w:cs="Arial"/>
          <w:sz w:val="22"/>
          <w:szCs w:val="22"/>
        </w:rPr>
        <w:t xml:space="preserve"> dotyczących spółek aktywnych na poszczególnych rynkach,</w:t>
      </w:r>
    </w:p>
    <w:p w:rsidR="00111E17" w:rsidRPr="00C953DA" w:rsidRDefault="00111E17" w:rsidP="00111E17">
      <w:pPr>
        <w:pStyle w:val="Tekstpodstawowy"/>
        <w:widowControl/>
        <w:numPr>
          <w:ilvl w:val="0"/>
          <w:numId w:val="1"/>
        </w:numPr>
        <w:autoSpaceDE/>
        <w:autoSpaceDN/>
        <w:spacing w:after="120"/>
        <w:jc w:val="both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>dane makroekonomiczne wraz prognozami.</w:t>
      </w:r>
    </w:p>
    <w:p w:rsidR="00111E17" w:rsidRPr="00C953DA" w:rsidRDefault="00111E17" w:rsidP="00111E17">
      <w:pPr>
        <w:pStyle w:val="Tekstpodstawowy"/>
        <w:spacing w:before="60" w:after="120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 xml:space="preserve">Przedmiot zamówienia obejmuje dostęp do serwisu dla </w:t>
      </w:r>
      <w:r>
        <w:rPr>
          <w:rFonts w:asciiTheme="majorHAnsi" w:hAnsiTheme="majorHAnsi" w:cs="Arial"/>
          <w:sz w:val="22"/>
          <w:szCs w:val="22"/>
        </w:rPr>
        <w:t>10</w:t>
      </w:r>
      <w:r w:rsidRPr="00C953DA">
        <w:rPr>
          <w:rFonts w:asciiTheme="majorHAnsi" w:hAnsiTheme="majorHAnsi" w:cs="Arial"/>
          <w:sz w:val="22"/>
          <w:szCs w:val="22"/>
        </w:rPr>
        <w:t xml:space="preserve"> użytkowników</w:t>
      </w:r>
      <w:r>
        <w:rPr>
          <w:rFonts w:asciiTheme="majorHAnsi" w:hAnsiTheme="majorHAnsi" w:cs="Arial"/>
          <w:sz w:val="22"/>
          <w:szCs w:val="22"/>
        </w:rPr>
        <w:t xml:space="preserve"> w Polskiej Agencji Inwestycji i Handlu</w:t>
      </w:r>
      <w:r w:rsidRPr="00C953DA">
        <w:rPr>
          <w:rFonts w:asciiTheme="majorHAnsi" w:hAnsiTheme="majorHAnsi" w:cs="Arial"/>
          <w:sz w:val="22"/>
          <w:szCs w:val="22"/>
        </w:rPr>
        <w:t xml:space="preserve">, z których przynajmniej jeden </w:t>
      </w:r>
      <w:r>
        <w:rPr>
          <w:rFonts w:asciiTheme="majorHAnsi" w:hAnsiTheme="majorHAnsi" w:cs="Arial"/>
          <w:sz w:val="22"/>
          <w:szCs w:val="22"/>
        </w:rPr>
        <w:t>powinien</w:t>
      </w:r>
      <w:r w:rsidRPr="00C953DA">
        <w:rPr>
          <w:rFonts w:asciiTheme="majorHAnsi" w:hAnsiTheme="majorHAnsi" w:cs="Arial"/>
          <w:sz w:val="22"/>
          <w:szCs w:val="22"/>
        </w:rPr>
        <w:t xml:space="preserve"> mieć dostęp do informacji na temat planowanych i</w:t>
      </w:r>
      <w:r>
        <w:rPr>
          <w:rFonts w:asciiTheme="majorHAnsi" w:hAnsiTheme="majorHAnsi" w:cs="Arial"/>
          <w:sz w:val="22"/>
          <w:szCs w:val="22"/>
        </w:rPr>
        <w:t> </w:t>
      </w:r>
      <w:r w:rsidRPr="00C953DA">
        <w:rPr>
          <w:rFonts w:asciiTheme="majorHAnsi" w:hAnsiTheme="majorHAnsi" w:cs="Arial"/>
          <w:sz w:val="22"/>
          <w:szCs w:val="22"/>
        </w:rPr>
        <w:t>zrealizowanych fuzji i przejęć.</w:t>
      </w:r>
    </w:p>
    <w:p w:rsidR="00111E17" w:rsidRPr="00C953DA" w:rsidRDefault="00111E17" w:rsidP="00111E17">
      <w:pPr>
        <w:pStyle w:val="standard1"/>
        <w:keepNext w:val="0"/>
        <w:spacing w:after="120"/>
        <w:jc w:val="both"/>
        <w:outlineLvl w:val="9"/>
        <w:rPr>
          <w:rFonts w:asciiTheme="majorHAnsi" w:hAnsiTheme="majorHAnsi" w:cs="Arial"/>
          <w:bCs/>
          <w:sz w:val="22"/>
          <w:szCs w:val="22"/>
        </w:rPr>
      </w:pPr>
      <w:r w:rsidRPr="00C953DA">
        <w:rPr>
          <w:rFonts w:asciiTheme="majorHAnsi" w:hAnsiTheme="majorHAnsi" w:cs="Arial"/>
          <w:bCs/>
          <w:sz w:val="22"/>
          <w:szCs w:val="22"/>
        </w:rPr>
        <w:lastRenderedPageBreak/>
        <w:t>Zamawiający wymaga, by funkcjonalności serwisu obejmowały możliwość eksportu danych co najmniej: do formatów Excel, Word i PDF oraz możliwość wprowadzania indywidualnych ustawień użytkownika na poziomie monitorowania danych</w:t>
      </w:r>
      <w:r>
        <w:rPr>
          <w:rFonts w:asciiTheme="majorHAnsi" w:hAnsiTheme="majorHAnsi" w:cs="Arial"/>
          <w:bCs/>
          <w:sz w:val="22"/>
          <w:szCs w:val="22"/>
        </w:rPr>
        <w:t>,</w:t>
      </w:r>
      <w:r w:rsidRPr="00C953DA">
        <w:rPr>
          <w:rFonts w:asciiTheme="majorHAnsi" w:hAnsiTheme="majorHAnsi" w:cs="Arial"/>
          <w:bCs/>
          <w:sz w:val="22"/>
          <w:szCs w:val="22"/>
        </w:rPr>
        <w:t xml:space="preserve"> z alertami włącznie. </w:t>
      </w:r>
    </w:p>
    <w:p w:rsidR="00111E17" w:rsidRPr="00C953DA" w:rsidRDefault="00111E17" w:rsidP="00111E17">
      <w:pPr>
        <w:tabs>
          <w:tab w:val="num" w:pos="1440"/>
        </w:tabs>
        <w:spacing w:after="120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Kod zamówienia określony we Wspólnym Słowniku Zamówień (CPV): </w:t>
      </w:r>
    </w:p>
    <w:p w:rsidR="00111E17" w:rsidRPr="00C953DA" w:rsidRDefault="00111E17" w:rsidP="00111E17">
      <w:pPr>
        <w:tabs>
          <w:tab w:val="num" w:pos="1440"/>
        </w:tabs>
        <w:spacing w:after="120"/>
        <w:ind w:left="567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64216200-5</w:t>
      </w:r>
      <w:r w:rsidRPr="00C953DA">
        <w:rPr>
          <w:rFonts w:asciiTheme="majorHAnsi" w:hAnsiTheme="majorHAnsi" w:cs="Arial"/>
        </w:rPr>
        <w:tab/>
        <w:t>Elektroniczne usługi informacyjne</w:t>
      </w:r>
    </w:p>
    <w:p w:rsidR="00111E17" w:rsidRPr="00C953DA" w:rsidRDefault="00111E17" w:rsidP="00111E17">
      <w:pPr>
        <w:tabs>
          <w:tab w:val="num" w:pos="1440"/>
        </w:tabs>
        <w:spacing w:after="120"/>
        <w:ind w:left="567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72319000-4 </w:t>
      </w:r>
      <w:r w:rsidRPr="00C953DA">
        <w:rPr>
          <w:rFonts w:asciiTheme="majorHAnsi" w:hAnsiTheme="majorHAnsi" w:cs="Arial"/>
        </w:rPr>
        <w:tab/>
        <w:t>Usługi dostarczania danych</w:t>
      </w:r>
    </w:p>
    <w:p w:rsidR="00111E17" w:rsidRPr="009C0C66" w:rsidRDefault="00111E17" w:rsidP="00111E17">
      <w:pPr>
        <w:pStyle w:val="Akapitzlist"/>
        <w:tabs>
          <w:tab w:val="left" w:pos="1418"/>
        </w:tabs>
        <w:jc w:val="center"/>
        <w:rPr>
          <w:b/>
          <w:sz w:val="32"/>
          <w:szCs w:val="32"/>
        </w:rPr>
      </w:pPr>
    </w:p>
    <w:p w:rsidR="00111E17" w:rsidRDefault="00111E17" w:rsidP="00111E17">
      <w:pPr>
        <w:jc w:val="both"/>
        <w:rPr>
          <w:rFonts w:asciiTheme="majorHAnsi" w:hAnsiTheme="majorHAnsi" w:cs="Arial"/>
          <w:b/>
          <w:bCs/>
        </w:rPr>
      </w:pPr>
      <w:r>
        <w:rPr>
          <w:b/>
        </w:rPr>
        <w:t xml:space="preserve"> </w:t>
      </w:r>
      <w:r w:rsidRPr="00C953DA">
        <w:rPr>
          <w:rFonts w:asciiTheme="majorHAnsi" w:hAnsiTheme="majorHAnsi" w:cs="Arial"/>
          <w:b/>
          <w:bCs/>
          <w:u w:val="single"/>
        </w:rPr>
        <w:t>Część II.</w:t>
      </w:r>
      <w:r w:rsidRPr="00C953DA">
        <w:rPr>
          <w:rFonts w:asciiTheme="majorHAnsi" w:hAnsiTheme="majorHAnsi" w:cs="Arial"/>
          <w:b/>
          <w:bCs/>
        </w:rPr>
        <w:t xml:space="preserve"> Zakup dost</w:t>
      </w:r>
      <w:r>
        <w:rPr>
          <w:rFonts w:asciiTheme="majorHAnsi" w:hAnsiTheme="majorHAnsi" w:cs="Arial"/>
          <w:b/>
          <w:bCs/>
        </w:rPr>
        <w:t>ę</w:t>
      </w:r>
      <w:r w:rsidRPr="00C953DA">
        <w:rPr>
          <w:rFonts w:asciiTheme="majorHAnsi" w:hAnsiTheme="majorHAnsi" w:cs="Arial"/>
          <w:b/>
          <w:bCs/>
        </w:rPr>
        <w:t>pu do internetowej bazy marketingowej danych polskich i zagranicznych przedsiębiorstw;</w:t>
      </w:r>
    </w:p>
    <w:p w:rsidR="00111E17" w:rsidRPr="00C953DA" w:rsidRDefault="00111E17" w:rsidP="00111E17">
      <w:pPr>
        <w:pStyle w:val="Tekstpodstawowy"/>
        <w:spacing w:before="60" w:after="120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 xml:space="preserve">Narzędzie musi oferować dostęp co najmniej w języku polskim i angielskim do informacji o firmach polskich i zagranicznych z łącznie przynajmniej 60 krajów świata obejmujących co najmniej: 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pełną lub skróconą nazwę firmy, 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nr w rejestrze przedsiębiorstw,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branżę wg. słów kluczowych i/lub klasyfikacji NACE/ISIC/PKD/EKD i/ lub innej klasyfikacji szczegółowej na poziomie co najmniej 4 cyfr, 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informację nt. produkowanych lub dystrybuowanych produktów, wraz z klasyfikacją haseł produktowych;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lokalizację  - region wg podziału administracyjnego, miasto,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dokładny adres siedziby - pełna nazwa, miasto, ulica, kod, kapitał, telefon, fax, strona www, e-mail, 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rodzaj działalności - produkcja, dystrybucja, usługi, import, eksport,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kluczowe wartości: obrót, zatrudnienie,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kraje docelowe importu i eksportu,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00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kierownictwo,</w:t>
      </w:r>
    </w:p>
    <w:p w:rsidR="00111E17" w:rsidRPr="00C953DA" w:rsidRDefault="00111E17" w:rsidP="00111E17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Autospacing="1"/>
        <w:ind w:left="1140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inne informacje - forma prawna.</w:t>
      </w:r>
    </w:p>
    <w:p w:rsidR="00111E17" w:rsidRPr="00C953DA" w:rsidRDefault="00111E17" w:rsidP="00111E17">
      <w:pPr>
        <w:shd w:val="clear" w:color="auto" w:fill="FFFFFF"/>
        <w:spacing w:before="100" w:beforeAutospacing="1" w:afterAutospacing="1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Narzędzie ma umożliwiać przeszukiwanie bazy po wszystkich ww. polach oraz umożliwiać eksport danych do formatu typu xls, z limitem eksportów na poziomie 150 000 rekordów rocznie i możliwością udostępniania tak pozyskanych danych klientom Zamawiającego i jego oddziałów zagranicznych. Dostęp do narzędzia ma być zapewniony poprzez 85 kont</w:t>
      </w:r>
      <w:r>
        <w:rPr>
          <w:rFonts w:asciiTheme="majorHAnsi" w:hAnsiTheme="majorHAnsi" w:cs="Arial"/>
        </w:rPr>
        <w:t xml:space="preserve"> dla pracowników Polskiej Agencji Inwestycji i Handlu oraz pracowników jej zagranicznych biur handlowych</w:t>
      </w:r>
      <w:r w:rsidRPr="00C953DA">
        <w:rPr>
          <w:rFonts w:asciiTheme="majorHAnsi" w:hAnsiTheme="majorHAnsi" w:cs="Arial"/>
        </w:rPr>
        <w:t>. Serwis musi oferować dostęp do informacji w języku polskim i angielskim.</w:t>
      </w:r>
    </w:p>
    <w:p w:rsidR="00111E17" w:rsidRPr="00C953DA" w:rsidRDefault="00111E17" w:rsidP="00111E17">
      <w:pPr>
        <w:tabs>
          <w:tab w:val="num" w:pos="1440"/>
        </w:tabs>
        <w:spacing w:after="120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Kod zamówienia określony we Wspólnym Słowniku Zamówień (CPV): </w:t>
      </w:r>
    </w:p>
    <w:p w:rsidR="00111E17" w:rsidRPr="00C953DA" w:rsidRDefault="00111E17" w:rsidP="00111E17">
      <w:pPr>
        <w:tabs>
          <w:tab w:val="num" w:pos="1440"/>
        </w:tabs>
        <w:spacing w:after="120"/>
        <w:ind w:left="567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64216200-5</w:t>
      </w:r>
      <w:r w:rsidRPr="00C953DA">
        <w:rPr>
          <w:rFonts w:asciiTheme="majorHAnsi" w:hAnsiTheme="majorHAnsi" w:cs="Arial"/>
        </w:rPr>
        <w:tab/>
        <w:t>Elektroniczne usługi informacyjne</w:t>
      </w:r>
    </w:p>
    <w:p w:rsidR="00111E17" w:rsidRDefault="00111E17" w:rsidP="00111E17">
      <w:pPr>
        <w:pStyle w:val="Akapitzlist"/>
        <w:tabs>
          <w:tab w:val="left" w:pos="1418"/>
        </w:tabs>
        <w:rPr>
          <w:b/>
        </w:rPr>
      </w:pPr>
      <w:r>
        <w:rPr>
          <w:rFonts w:asciiTheme="majorHAnsi" w:hAnsiTheme="majorHAnsi" w:cs="Arial"/>
        </w:rPr>
        <w:t xml:space="preserve">             </w:t>
      </w:r>
      <w:r w:rsidRPr="00C953DA">
        <w:rPr>
          <w:rFonts w:asciiTheme="majorHAnsi" w:hAnsiTheme="majorHAnsi" w:cs="Arial"/>
        </w:rPr>
        <w:t xml:space="preserve">72319000-4 </w:t>
      </w:r>
      <w:r w:rsidRPr="00C953DA">
        <w:rPr>
          <w:rFonts w:asciiTheme="majorHAnsi" w:hAnsiTheme="majorHAnsi" w:cs="Arial"/>
        </w:rPr>
        <w:tab/>
        <w:t>Usługi dostarczania danych</w:t>
      </w:r>
    </w:p>
    <w:p w:rsidR="00111E17" w:rsidRDefault="00111E17" w:rsidP="00111E17">
      <w:pPr>
        <w:pStyle w:val="Akapitzlist"/>
        <w:tabs>
          <w:tab w:val="left" w:pos="1418"/>
        </w:tabs>
        <w:rPr>
          <w:b/>
        </w:rPr>
      </w:pPr>
    </w:p>
    <w:p w:rsidR="00111E17" w:rsidRPr="00C953DA" w:rsidRDefault="00111E17" w:rsidP="00111E17">
      <w:pPr>
        <w:jc w:val="both"/>
        <w:rPr>
          <w:rFonts w:asciiTheme="majorHAnsi" w:hAnsiTheme="majorHAnsi" w:cs="Arial"/>
          <w:b/>
          <w:bCs/>
        </w:rPr>
      </w:pPr>
      <w:r w:rsidRPr="00C953DA">
        <w:rPr>
          <w:rFonts w:asciiTheme="majorHAnsi" w:hAnsiTheme="majorHAnsi" w:cs="Arial"/>
          <w:b/>
          <w:bCs/>
          <w:u w:val="single"/>
        </w:rPr>
        <w:t>Część I</w:t>
      </w:r>
      <w:r>
        <w:rPr>
          <w:rFonts w:asciiTheme="majorHAnsi" w:hAnsiTheme="majorHAnsi" w:cs="Arial"/>
          <w:b/>
          <w:bCs/>
          <w:u w:val="single"/>
        </w:rPr>
        <w:t>II</w:t>
      </w:r>
      <w:r w:rsidRPr="00C953DA">
        <w:rPr>
          <w:rFonts w:asciiTheme="majorHAnsi" w:hAnsiTheme="majorHAnsi" w:cs="Arial"/>
          <w:b/>
          <w:bCs/>
          <w:u w:val="single"/>
        </w:rPr>
        <w:t>.</w:t>
      </w:r>
      <w:r w:rsidRPr="00C953DA">
        <w:rPr>
          <w:rFonts w:asciiTheme="majorHAnsi" w:hAnsiTheme="majorHAnsi" w:cs="Arial"/>
          <w:b/>
          <w:bCs/>
        </w:rPr>
        <w:t xml:space="preserve"> Zakup dostępu do raportów umożliwiających analizę kondycji finansowej przedsiębiorstw polskich i zagranicznych i ryzyka współpracy z nimi</w:t>
      </w:r>
      <w:r>
        <w:rPr>
          <w:rFonts w:asciiTheme="majorHAnsi" w:hAnsiTheme="majorHAnsi" w:cs="Arial"/>
          <w:b/>
          <w:bCs/>
        </w:rPr>
        <w:t>;</w:t>
      </w:r>
    </w:p>
    <w:p w:rsidR="00111E17" w:rsidRPr="00C953DA" w:rsidRDefault="00111E17" w:rsidP="00111E17">
      <w:pPr>
        <w:pStyle w:val="standard1"/>
        <w:keepNext w:val="0"/>
        <w:spacing w:after="120"/>
        <w:jc w:val="both"/>
        <w:outlineLvl w:val="9"/>
        <w:rPr>
          <w:rFonts w:asciiTheme="majorHAnsi" w:hAnsiTheme="majorHAnsi" w:cs="Arial"/>
          <w:bCs/>
          <w:sz w:val="22"/>
          <w:szCs w:val="22"/>
        </w:rPr>
      </w:pPr>
      <w:r w:rsidRPr="00C953DA">
        <w:rPr>
          <w:rFonts w:asciiTheme="majorHAnsi" w:hAnsiTheme="majorHAnsi" w:cs="Arial"/>
          <w:bCs/>
          <w:sz w:val="22"/>
          <w:szCs w:val="22"/>
        </w:rPr>
        <w:t xml:space="preserve">Narzędzie powinno zapewniać dostęp za pośrednictwem sieci Internet na do raportów umożliwiających analizę kondycji finansowej przedsiębiorstw polskich i zagranicznych i ryzyka współpracy z nimi. Narzędzie musi oferować możliwość weryfikacji partnerów na rynku polskim i co najmniej 60 rynkach zagranicznych </w:t>
      </w:r>
      <w:r w:rsidRPr="00C953DA">
        <w:rPr>
          <w:rFonts w:asciiTheme="majorHAnsi" w:hAnsiTheme="majorHAnsi" w:cs="Arial"/>
          <w:bCs/>
          <w:sz w:val="22"/>
          <w:szCs w:val="22"/>
        </w:rPr>
        <w:lastRenderedPageBreak/>
        <w:t xml:space="preserve">pod kątem wiarygodności finansowej podmiotów, potencjału współpracy i wiarygodności handlowo-inwestycyjnej. </w:t>
      </w:r>
    </w:p>
    <w:p w:rsidR="00111E17" w:rsidRPr="00C953DA" w:rsidRDefault="00111E17" w:rsidP="00111E17">
      <w:pPr>
        <w:spacing w:after="120"/>
        <w:jc w:val="both"/>
        <w:rPr>
          <w:rFonts w:asciiTheme="majorHAnsi" w:hAnsiTheme="majorHAnsi" w:cs="Arial"/>
          <w:bCs/>
        </w:rPr>
      </w:pPr>
      <w:r w:rsidRPr="00C953DA">
        <w:rPr>
          <w:rFonts w:asciiTheme="majorHAnsi" w:hAnsiTheme="majorHAnsi" w:cs="Arial"/>
          <w:bCs/>
        </w:rPr>
        <w:t>Raporty nt wiarygodności powinny być udostępniane w wersji co najmniej angielskiej oraz w plikach w</w:t>
      </w:r>
      <w:r>
        <w:rPr>
          <w:rFonts w:asciiTheme="majorHAnsi" w:hAnsiTheme="majorHAnsi" w:cs="Arial"/>
          <w:bCs/>
        </w:rPr>
        <w:t> </w:t>
      </w:r>
      <w:r w:rsidRPr="00C953DA">
        <w:rPr>
          <w:rFonts w:asciiTheme="majorHAnsi" w:hAnsiTheme="majorHAnsi" w:cs="Arial"/>
          <w:bCs/>
        </w:rPr>
        <w:t>formatach typu pdf oraz doc lub txt lub xls. Zamawiający zakłada, że w okresie obowiązywania umowy zamówi około 500 raportów dotyczących firm z różnych krajów, w tym szacunkowo: 100 z Europy (po</w:t>
      </w:r>
      <w:r>
        <w:rPr>
          <w:rFonts w:asciiTheme="majorHAnsi" w:hAnsiTheme="majorHAnsi" w:cs="Arial"/>
          <w:bCs/>
        </w:rPr>
        <w:t> </w:t>
      </w:r>
      <w:r w:rsidRPr="00C953DA">
        <w:rPr>
          <w:rFonts w:asciiTheme="majorHAnsi" w:hAnsiTheme="majorHAnsi" w:cs="Arial"/>
          <w:bCs/>
        </w:rPr>
        <w:t>50</w:t>
      </w:r>
      <w:r>
        <w:rPr>
          <w:rFonts w:asciiTheme="majorHAnsi" w:hAnsiTheme="majorHAnsi" w:cs="Arial"/>
          <w:bCs/>
        </w:rPr>
        <w:t> </w:t>
      </w:r>
      <w:r w:rsidRPr="00C953DA">
        <w:rPr>
          <w:rFonts w:asciiTheme="majorHAnsi" w:hAnsiTheme="majorHAnsi" w:cs="Arial"/>
          <w:bCs/>
        </w:rPr>
        <w:t>UE i pozostałe kraje), 100 z Afryki, 100 z Ameryk Płd.</w:t>
      </w:r>
      <w:r>
        <w:rPr>
          <w:rFonts w:asciiTheme="majorHAnsi" w:hAnsiTheme="majorHAnsi" w:cs="Arial"/>
          <w:bCs/>
        </w:rPr>
        <w:t xml:space="preserve"> i </w:t>
      </w:r>
      <w:r w:rsidRPr="00C953DA">
        <w:rPr>
          <w:rFonts w:asciiTheme="majorHAnsi" w:hAnsiTheme="majorHAnsi" w:cs="Arial"/>
          <w:bCs/>
        </w:rPr>
        <w:t xml:space="preserve"> Płn., 100 z Azji, 100 z Polski. Zamawiający zakłada, że informacje zawarte w raportach będą udostępniane jego klientom i klientom jego oddziałów zagranicznych.</w:t>
      </w:r>
    </w:p>
    <w:p w:rsidR="00111E17" w:rsidRPr="00C953DA" w:rsidRDefault="00111E17" w:rsidP="00111E17">
      <w:pPr>
        <w:pStyle w:val="standard1"/>
        <w:keepNext w:val="0"/>
        <w:spacing w:after="120"/>
        <w:jc w:val="both"/>
        <w:outlineLvl w:val="9"/>
        <w:rPr>
          <w:rFonts w:asciiTheme="majorHAnsi" w:hAnsiTheme="majorHAnsi" w:cs="Arial"/>
          <w:bCs/>
          <w:sz w:val="22"/>
          <w:szCs w:val="22"/>
        </w:rPr>
      </w:pPr>
      <w:r w:rsidRPr="00C953DA">
        <w:rPr>
          <w:rFonts w:asciiTheme="majorHAnsi" w:hAnsiTheme="majorHAnsi" w:cs="Arial"/>
          <w:bCs/>
          <w:sz w:val="22"/>
          <w:szCs w:val="22"/>
        </w:rPr>
        <w:t xml:space="preserve">O ile raport dotyczący konkretnej firmy nie będzie dostępny w bazie lub jego aktualność nie będzie zadowalająca, a Dostawca będzie dostarczał informacje nt. firm z danego rynku zagranicznego, dostarczy on raport nt firmy nieujętej w bazie w terminie nie przekraczającym 7 dni dla krajów europejskich i 14 dni dla krajów pozaeuropejskich. </w:t>
      </w:r>
    </w:p>
    <w:p w:rsidR="00111E17" w:rsidRPr="00C953DA" w:rsidRDefault="00111E17" w:rsidP="00111E17">
      <w:pPr>
        <w:spacing w:after="120"/>
        <w:jc w:val="both"/>
        <w:rPr>
          <w:rFonts w:asciiTheme="majorHAnsi" w:eastAsia="Times New Roman" w:hAnsiTheme="majorHAnsi" w:cs="Arial"/>
          <w:bCs/>
          <w:lang w:eastAsia="pl-PL"/>
        </w:rPr>
      </w:pPr>
      <w:r w:rsidRPr="00C953DA">
        <w:rPr>
          <w:rFonts w:asciiTheme="majorHAnsi" w:eastAsia="Times New Roman" w:hAnsiTheme="majorHAnsi" w:cs="Arial"/>
          <w:bCs/>
          <w:lang w:eastAsia="pl-PL"/>
        </w:rPr>
        <w:t xml:space="preserve">Dostęp do bazy powinien być zapewniony na 3 stanowiska w </w:t>
      </w:r>
      <w:r>
        <w:rPr>
          <w:rFonts w:asciiTheme="majorHAnsi" w:eastAsia="Times New Roman" w:hAnsiTheme="majorHAnsi" w:cs="Arial"/>
          <w:bCs/>
          <w:lang w:eastAsia="pl-PL"/>
        </w:rPr>
        <w:t>Polskiej Agencji Inwestycji i Handlu</w:t>
      </w:r>
      <w:r w:rsidRPr="00C953DA">
        <w:rPr>
          <w:rFonts w:asciiTheme="majorHAnsi" w:eastAsia="Times New Roman" w:hAnsiTheme="majorHAnsi" w:cs="Arial"/>
          <w:bCs/>
          <w:lang w:eastAsia="pl-PL"/>
        </w:rPr>
        <w:t>.</w:t>
      </w:r>
    </w:p>
    <w:p w:rsidR="00111E17" w:rsidRPr="00C953DA" w:rsidRDefault="00111E17" w:rsidP="00111E17">
      <w:pPr>
        <w:pStyle w:val="standard1"/>
        <w:keepNext w:val="0"/>
        <w:spacing w:after="120"/>
        <w:jc w:val="both"/>
        <w:outlineLvl w:val="9"/>
        <w:rPr>
          <w:rFonts w:asciiTheme="majorHAnsi" w:hAnsiTheme="majorHAnsi" w:cs="Arial"/>
          <w:bCs/>
          <w:sz w:val="22"/>
          <w:szCs w:val="22"/>
        </w:rPr>
      </w:pPr>
      <w:r w:rsidRPr="00C953DA">
        <w:rPr>
          <w:rFonts w:asciiTheme="majorHAnsi" w:hAnsiTheme="majorHAnsi" w:cs="Arial"/>
          <w:bCs/>
          <w:sz w:val="22"/>
          <w:szCs w:val="22"/>
        </w:rPr>
        <w:t xml:space="preserve">Kod zamówienia określony we Wspólnym Słowniku Zamówień (CPV): </w:t>
      </w:r>
    </w:p>
    <w:p w:rsidR="00111E17" w:rsidRPr="00C953DA" w:rsidRDefault="00111E17" w:rsidP="00111E17">
      <w:pPr>
        <w:tabs>
          <w:tab w:val="num" w:pos="1440"/>
        </w:tabs>
        <w:spacing w:after="120"/>
        <w:ind w:left="567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64216200-5</w:t>
      </w:r>
      <w:r w:rsidRPr="00C953DA">
        <w:rPr>
          <w:rFonts w:asciiTheme="majorHAnsi" w:hAnsiTheme="majorHAnsi" w:cs="Arial"/>
        </w:rPr>
        <w:tab/>
        <w:t>Elektroniczne usługi informacyjne</w:t>
      </w:r>
    </w:p>
    <w:p w:rsidR="00111E17" w:rsidRDefault="00111E17" w:rsidP="00111E17">
      <w:pPr>
        <w:tabs>
          <w:tab w:val="num" w:pos="1440"/>
        </w:tabs>
        <w:spacing w:after="120"/>
        <w:ind w:left="567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72319000-4 </w:t>
      </w:r>
      <w:r w:rsidRPr="00C953DA">
        <w:rPr>
          <w:rFonts w:asciiTheme="majorHAnsi" w:hAnsiTheme="majorHAnsi" w:cs="Arial"/>
        </w:rPr>
        <w:tab/>
        <w:t>Usługi dostarczania danych</w:t>
      </w:r>
    </w:p>
    <w:p w:rsidR="00111E17" w:rsidRPr="00C953DA" w:rsidRDefault="00111E17" w:rsidP="00111E17">
      <w:pPr>
        <w:jc w:val="both"/>
        <w:rPr>
          <w:rFonts w:asciiTheme="majorHAnsi" w:hAnsiTheme="majorHAnsi" w:cs="Arial"/>
          <w:b/>
          <w:bCs/>
        </w:rPr>
      </w:pPr>
      <w:r w:rsidRPr="00C953DA">
        <w:rPr>
          <w:rFonts w:asciiTheme="majorHAnsi" w:hAnsiTheme="majorHAnsi" w:cs="Arial"/>
          <w:b/>
          <w:bCs/>
          <w:u w:val="single"/>
        </w:rPr>
        <w:t>Część I</w:t>
      </w:r>
      <w:r>
        <w:rPr>
          <w:rFonts w:asciiTheme="majorHAnsi" w:hAnsiTheme="majorHAnsi" w:cs="Arial"/>
          <w:b/>
          <w:bCs/>
          <w:u w:val="single"/>
        </w:rPr>
        <w:t>V</w:t>
      </w:r>
      <w:r w:rsidRPr="00C953DA">
        <w:rPr>
          <w:rFonts w:asciiTheme="majorHAnsi" w:hAnsiTheme="majorHAnsi" w:cs="Arial"/>
          <w:b/>
          <w:bCs/>
          <w:u w:val="single"/>
        </w:rPr>
        <w:t>.</w:t>
      </w:r>
      <w:r w:rsidRPr="00C953DA">
        <w:rPr>
          <w:rFonts w:asciiTheme="majorHAnsi" w:hAnsiTheme="majorHAnsi" w:cs="Arial"/>
          <w:b/>
          <w:bCs/>
          <w:color w:val="000000"/>
        </w:rPr>
        <w:t xml:space="preserve"> </w:t>
      </w:r>
      <w:r w:rsidRPr="00C953DA">
        <w:rPr>
          <w:rFonts w:asciiTheme="majorHAnsi" w:hAnsiTheme="majorHAnsi" w:cs="Arial"/>
          <w:b/>
          <w:bCs/>
          <w:u w:val="single"/>
        </w:rPr>
        <w:t>.</w:t>
      </w:r>
      <w:r w:rsidRPr="00C953DA">
        <w:rPr>
          <w:rFonts w:asciiTheme="majorHAnsi" w:hAnsiTheme="majorHAnsi" w:cs="Arial"/>
          <w:b/>
          <w:bCs/>
        </w:rPr>
        <w:t xml:space="preserve"> Zakup dostępu do serwisu internetowego stanowiącego agregat danych statystycznych wraz</w:t>
      </w:r>
      <w:r>
        <w:rPr>
          <w:rFonts w:asciiTheme="majorHAnsi" w:hAnsiTheme="majorHAnsi" w:cs="Arial"/>
          <w:b/>
          <w:bCs/>
        </w:rPr>
        <w:t> </w:t>
      </w:r>
      <w:r w:rsidRPr="00C953DA">
        <w:rPr>
          <w:rFonts w:asciiTheme="majorHAnsi" w:hAnsiTheme="majorHAnsi" w:cs="Arial"/>
          <w:b/>
          <w:bCs/>
        </w:rPr>
        <w:t>z</w:t>
      </w:r>
      <w:r>
        <w:rPr>
          <w:rFonts w:asciiTheme="majorHAnsi" w:hAnsiTheme="majorHAnsi" w:cs="Arial"/>
          <w:b/>
          <w:bCs/>
        </w:rPr>
        <w:t> </w:t>
      </w:r>
      <w:r w:rsidRPr="00C953DA">
        <w:rPr>
          <w:rFonts w:asciiTheme="majorHAnsi" w:hAnsiTheme="majorHAnsi" w:cs="Arial"/>
          <w:b/>
          <w:bCs/>
        </w:rPr>
        <w:t>narzędziami do analizy gospodarek i ich sektorów pod kątem kształtowania strategii eksportowych i prognozowania trendów rynkowych</w:t>
      </w:r>
      <w:r>
        <w:rPr>
          <w:rFonts w:asciiTheme="majorHAnsi" w:hAnsiTheme="majorHAnsi" w:cs="Arial"/>
          <w:b/>
          <w:bCs/>
        </w:rPr>
        <w:t>.</w:t>
      </w:r>
    </w:p>
    <w:p w:rsidR="00111E17" w:rsidRPr="00C953DA" w:rsidRDefault="00111E17" w:rsidP="00111E17">
      <w:pPr>
        <w:pStyle w:val="Tekstpodstawowy"/>
        <w:spacing w:before="60" w:after="120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 xml:space="preserve">Przedmiotem zamówienia jest </w:t>
      </w:r>
      <w:r w:rsidRPr="00C953DA">
        <w:rPr>
          <w:rFonts w:asciiTheme="majorHAnsi" w:hAnsiTheme="majorHAnsi" w:cs="Arial"/>
          <w:bCs/>
          <w:sz w:val="22"/>
          <w:szCs w:val="22"/>
        </w:rPr>
        <w:t>zakup</w:t>
      </w:r>
      <w:r w:rsidRPr="00C953DA">
        <w:rPr>
          <w:rFonts w:asciiTheme="majorHAnsi" w:hAnsiTheme="majorHAnsi" w:cs="Arial"/>
          <w:bCs/>
          <w:color w:val="000000"/>
          <w:sz w:val="22"/>
          <w:szCs w:val="22"/>
        </w:rPr>
        <w:t xml:space="preserve"> prawa  korzystania w formie dostępu </w:t>
      </w:r>
      <w:r>
        <w:rPr>
          <w:rFonts w:asciiTheme="majorHAnsi" w:hAnsiTheme="majorHAnsi" w:cs="Arial"/>
          <w:bCs/>
          <w:color w:val="000000"/>
          <w:sz w:val="22"/>
          <w:szCs w:val="22"/>
        </w:rPr>
        <w:t>do</w:t>
      </w:r>
      <w:r w:rsidRPr="00C953DA">
        <w:rPr>
          <w:rFonts w:asciiTheme="majorHAnsi" w:hAnsiTheme="majorHAnsi" w:cs="Arial"/>
          <w:bCs/>
          <w:color w:val="000000"/>
          <w:sz w:val="22"/>
          <w:szCs w:val="22"/>
        </w:rPr>
        <w:t xml:space="preserve"> serwisu internetowego stanowiącego agregat danych statystycznych wyposażonego w narzędzia do przeprowadzania analizy gospodarek i ich sektorów pod kątem kształtowania strategii eksportowych i prognozowania trendów rynkowych</w:t>
      </w:r>
      <w:r w:rsidRPr="00C953DA">
        <w:rPr>
          <w:rFonts w:asciiTheme="majorHAnsi" w:hAnsiTheme="majorHAnsi" w:cs="Arial"/>
          <w:b/>
          <w:bCs/>
          <w:sz w:val="22"/>
          <w:szCs w:val="22"/>
        </w:rPr>
        <w:t>.</w:t>
      </w:r>
      <w:r w:rsidRPr="00C953DA">
        <w:rPr>
          <w:rFonts w:asciiTheme="majorHAnsi" w:hAnsiTheme="majorHAnsi" w:cs="Arial"/>
          <w:sz w:val="22"/>
          <w:szCs w:val="22"/>
        </w:rPr>
        <w:t xml:space="preserve"> Serwis musi oferować dostęp dla co najmniej 40 gospodarek do  następujących informacji i</w:t>
      </w:r>
      <w:r>
        <w:rPr>
          <w:rFonts w:asciiTheme="majorHAnsi" w:hAnsiTheme="majorHAnsi" w:cs="Arial"/>
          <w:sz w:val="22"/>
          <w:szCs w:val="22"/>
        </w:rPr>
        <w:t> </w:t>
      </w:r>
      <w:r w:rsidRPr="00C953DA">
        <w:rPr>
          <w:rFonts w:asciiTheme="majorHAnsi" w:hAnsiTheme="majorHAnsi" w:cs="Arial"/>
          <w:sz w:val="22"/>
          <w:szCs w:val="22"/>
        </w:rPr>
        <w:t>analiz, co najmniej w języku angielskim:</w:t>
      </w:r>
    </w:p>
    <w:p w:rsidR="00111E17" w:rsidRPr="00C953DA" w:rsidRDefault="00111E17" w:rsidP="00111E17">
      <w:pPr>
        <w:pStyle w:val="Tekstpodstawowy"/>
        <w:widowControl/>
        <w:numPr>
          <w:ilvl w:val="0"/>
          <w:numId w:val="3"/>
        </w:numPr>
        <w:autoSpaceDE/>
        <w:autoSpaceDN/>
        <w:spacing w:after="120"/>
        <w:jc w:val="both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>dotyczących profili demograficznych każdego z ujętych rynków krajowych;</w:t>
      </w:r>
    </w:p>
    <w:p w:rsidR="00111E17" w:rsidRPr="00C953DA" w:rsidRDefault="00111E17" w:rsidP="00111E17">
      <w:pPr>
        <w:pStyle w:val="Tekstpodstawowy"/>
        <w:widowControl/>
        <w:numPr>
          <w:ilvl w:val="0"/>
          <w:numId w:val="3"/>
        </w:numPr>
        <w:autoSpaceDE/>
        <w:autoSpaceDN/>
        <w:spacing w:after="120"/>
        <w:jc w:val="both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>dotyczących szczegółowych analiz sektorów na ujętych rynkach krajowych.</w:t>
      </w:r>
    </w:p>
    <w:p w:rsidR="00111E17" w:rsidRPr="00C953DA" w:rsidRDefault="00111E17" w:rsidP="00111E17">
      <w:pPr>
        <w:pStyle w:val="Tekstpodstawowy"/>
        <w:spacing w:after="120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>Ujęte sektory powinny obejmować przynajmniej 10 spośród wyliczonych sektorów: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sprzęt medyczny,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maszyny i urządzenia,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biotechnologia i farmaceutyka,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>moda polska</w:t>
      </w:r>
      <w:r>
        <w:rPr>
          <w:rFonts w:asciiTheme="majorHAnsi" w:hAnsiTheme="majorHAnsi"/>
          <w:spacing w:val="-8"/>
        </w:rPr>
        <w:t>/ odzież i akcesoria</w:t>
      </w:r>
      <w:r w:rsidRPr="001E1642">
        <w:rPr>
          <w:rFonts w:asciiTheme="majorHAnsi" w:hAnsiTheme="majorHAnsi"/>
          <w:spacing w:val="-8"/>
        </w:rPr>
        <w:t xml:space="preserve">,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produkcja kosmetyków,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budownictwo,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budowa jachtów i łodzi,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produkcja mebli,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produkcja spożywcza;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usługi prozdrowotne, </w:t>
      </w:r>
    </w:p>
    <w:p w:rsidR="00111E17" w:rsidRPr="005F4A6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 xml:space="preserve">produkcja środków transportu, </w:t>
      </w:r>
    </w:p>
    <w:p w:rsidR="00111E17" w:rsidRPr="00C953DA" w:rsidRDefault="00111E17" w:rsidP="00111E17">
      <w:pPr>
        <w:pStyle w:val="Akapitzlist"/>
        <w:widowControl/>
        <w:numPr>
          <w:ilvl w:val="0"/>
          <w:numId w:val="4"/>
        </w:numPr>
        <w:tabs>
          <w:tab w:val="left" w:pos="567"/>
        </w:tabs>
        <w:adjustRightInd w:val="0"/>
        <w:spacing w:after="160" w:line="259" w:lineRule="auto"/>
        <w:contextualSpacing/>
        <w:jc w:val="both"/>
        <w:rPr>
          <w:rFonts w:asciiTheme="majorHAnsi" w:hAnsiTheme="majorHAnsi" w:cs="Arial"/>
          <w:spacing w:val="-8"/>
        </w:rPr>
      </w:pPr>
      <w:r w:rsidRPr="001E1642">
        <w:rPr>
          <w:rFonts w:asciiTheme="majorHAnsi" w:hAnsiTheme="majorHAnsi"/>
          <w:spacing w:val="-8"/>
        </w:rPr>
        <w:t>IT/ ICT.</w:t>
      </w:r>
    </w:p>
    <w:p w:rsidR="00111E17" w:rsidRPr="00C953DA" w:rsidRDefault="00111E17" w:rsidP="00111E17">
      <w:pPr>
        <w:pStyle w:val="standard1"/>
        <w:keepNext w:val="0"/>
        <w:spacing w:after="120"/>
        <w:jc w:val="both"/>
        <w:outlineLvl w:val="9"/>
        <w:rPr>
          <w:rFonts w:asciiTheme="majorHAnsi" w:hAnsiTheme="majorHAnsi" w:cs="Arial"/>
          <w:bCs/>
          <w:sz w:val="22"/>
          <w:szCs w:val="22"/>
        </w:rPr>
      </w:pPr>
      <w:r w:rsidRPr="00C953DA">
        <w:rPr>
          <w:rFonts w:asciiTheme="majorHAnsi" w:hAnsiTheme="majorHAnsi" w:cs="Arial"/>
          <w:bCs/>
          <w:sz w:val="22"/>
          <w:szCs w:val="22"/>
        </w:rPr>
        <w:lastRenderedPageBreak/>
        <w:t>Zamawiający wymaga, by funkcjonalności serwisu obejmowały możliwość prognozowania, graficznej prezentacji danych oraz ich eksportu co najmniej: do formatu PDF i arkusza kalkulacyjnego typu Excel oraz możliwość wprowadzania indywidualnych ustawień użytkownika, w szczególności w odniesieniu do wyboru jednostek i walut analizy.</w:t>
      </w:r>
    </w:p>
    <w:p w:rsidR="00111E17" w:rsidRPr="00C953DA" w:rsidRDefault="00111E17" w:rsidP="00111E17">
      <w:pPr>
        <w:pStyle w:val="Tekstpodstawowy"/>
        <w:spacing w:before="60" w:after="120"/>
        <w:rPr>
          <w:rFonts w:asciiTheme="majorHAnsi" w:hAnsiTheme="majorHAnsi" w:cs="Arial"/>
          <w:sz w:val="22"/>
          <w:szCs w:val="22"/>
        </w:rPr>
      </w:pPr>
      <w:r w:rsidRPr="00C953DA">
        <w:rPr>
          <w:rFonts w:asciiTheme="majorHAnsi" w:hAnsiTheme="majorHAnsi" w:cs="Arial"/>
          <w:sz w:val="22"/>
          <w:szCs w:val="22"/>
        </w:rPr>
        <w:t xml:space="preserve">Przedmiot zamówienia obejmuje dostęp do serwisu dla co najmniej </w:t>
      </w:r>
      <w:r>
        <w:rPr>
          <w:rFonts w:asciiTheme="majorHAnsi" w:hAnsiTheme="majorHAnsi" w:cs="Arial"/>
          <w:sz w:val="22"/>
          <w:szCs w:val="22"/>
        </w:rPr>
        <w:t>5</w:t>
      </w:r>
      <w:r w:rsidRPr="00C953DA">
        <w:rPr>
          <w:rFonts w:asciiTheme="majorHAnsi" w:hAnsiTheme="majorHAnsi" w:cs="Arial"/>
          <w:sz w:val="22"/>
          <w:szCs w:val="22"/>
        </w:rPr>
        <w:t xml:space="preserve"> pracowników </w:t>
      </w:r>
      <w:r>
        <w:rPr>
          <w:rFonts w:asciiTheme="majorHAnsi" w:hAnsiTheme="majorHAnsi" w:cs="Arial"/>
          <w:sz w:val="22"/>
          <w:szCs w:val="22"/>
        </w:rPr>
        <w:t>Polskiej Agencji Inwestycji i Handlu</w:t>
      </w:r>
      <w:r w:rsidRPr="00C953DA">
        <w:rPr>
          <w:rFonts w:asciiTheme="majorHAnsi" w:hAnsiTheme="majorHAnsi" w:cs="Arial"/>
          <w:sz w:val="22"/>
          <w:szCs w:val="22"/>
        </w:rPr>
        <w:t>.</w:t>
      </w:r>
    </w:p>
    <w:p w:rsidR="00111E17" w:rsidRPr="00C953DA" w:rsidRDefault="00111E17" w:rsidP="00111E17">
      <w:pPr>
        <w:tabs>
          <w:tab w:val="num" w:pos="1440"/>
        </w:tabs>
        <w:spacing w:after="120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Kod zamówienia określony we Wspólnym Słowniku Zamówień (CPV): </w:t>
      </w:r>
    </w:p>
    <w:p w:rsidR="00111E17" w:rsidRPr="00C953DA" w:rsidRDefault="00111E17" w:rsidP="00111E17">
      <w:pPr>
        <w:tabs>
          <w:tab w:val="num" w:pos="1440"/>
        </w:tabs>
        <w:spacing w:after="120"/>
        <w:ind w:left="567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>64216200-5</w:t>
      </w:r>
      <w:r w:rsidRPr="00C953DA">
        <w:rPr>
          <w:rFonts w:asciiTheme="majorHAnsi" w:hAnsiTheme="majorHAnsi" w:cs="Arial"/>
        </w:rPr>
        <w:tab/>
        <w:t>Elektroniczne usługi informacyjne</w:t>
      </w:r>
    </w:p>
    <w:p w:rsidR="00111E17" w:rsidRPr="00C953DA" w:rsidRDefault="00111E17" w:rsidP="00111E17">
      <w:pPr>
        <w:tabs>
          <w:tab w:val="num" w:pos="1440"/>
        </w:tabs>
        <w:spacing w:after="120"/>
        <w:ind w:left="567"/>
        <w:jc w:val="both"/>
        <w:rPr>
          <w:rFonts w:asciiTheme="majorHAnsi" w:hAnsiTheme="majorHAnsi" w:cs="Arial"/>
        </w:rPr>
      </w:pPr>
      <w:r w:rsidRPr="00C953DA">
        <w:rPr>
          <w:rFonts w:asciiTheme="majorHAnsi" w:hAnsiTheme="majorHAnsi" w:cs="Arial"/>
        </w:rPr>
        <w:t xml:space="preserve">72319000-4 </w:t>
      </w:r>
      <w:r w:rsidRPr="00C953DA">
        <w:rPr>
          <w:rFonts w:asciiTheme="majorHAnsi" w:hAnsiTheme="majorHAnsi" w:cs="Arial"/>
        </w:rPr>
        <w:tab/>
        <w:t>Usługi dostarczania danych</w:t>
      </w:r>
    </w:p>
    <w:p w:rsidR="00111E17" w:rsidRPr="009C0C66" w:rsidRDefault="00111E17" w:rsidP="00111E17">
      <w:pPr>
        <w:pStyle w:val="Akapitzlist"/>
        <w:tabs>
          <w:tab w:val="left" w:pos="1418"/>
        </w:tabs>
        <w:rPr>
          <w:b/>
        </w:rPr>
      </w:pPr>
    </w:p>
    <w:p w:rsidR="009B374C" w:rsidRPr="00DB78F2" w:rsidRDefault="009B374C" w:rsidP="004A0479">
      <w:pPr>
        <w:pStyle w:val="Akapitzlist"/>
        <w:tabs>
          <w:tab w:val="left" w:pos="1418"/>
        </w:tabs>
      </w:pPr>
      <w:bookmarkStart w:id="1" w:name="_GoBack"/>
      <w:bookmarkEnd w:id="1"/>
    </w:p>
    <w:sectPr w:rsidR="009B374C" w:rsidRPr="00DB78F2" w:rsidSect="00980927">
      <w:headerReference w:type="default" r:id="rId8"/>
      <w:footerReference w:type="default" r:id="rId9"/>
      <w:type w:val="continuous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5BE3" w:rsidRDefault="008C5BE3" w:rsidP="00382DE2">
      <w:r>
        <w:separator/>
      </w:r>
    </w:p>
  </w:endnote>
  <w:endnote w:type="continuationSeparator" w:id="0">
    <w:p w:rsidR="008C5BE3" w:rsidRDefault="008C5BE3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7EC" w:rsidRDefault="004A729C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-490220</wp:posOffset>
          </wp:positionH>
          <wp:positionV relativeFrom="paragraph">
            <wp:posOffset>-445770</wp:posOffset>
          </wp:positionV>
          <wp:extent cx="7516780" cy="1171551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topka P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6780" cy="11715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5BE3" w:rsidRDefault="008C5BE3" w:rsidP="00382DE2">
      <w:r>
        <w:separator/>
      </w:r>
    </w:p>
  </w:footnote>
  <w:footnote w:type="continuationSeparator" w:id="0">
    <w:p w:rsidR="008C5BE3" w:rsidRDefault="008C5BE3" w:rsidP="0038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7216" w:rsidRDefault="002B2564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964A3"/>
    <w:multiLevelType w:val="multilevel"/>
    <w:tmpl w:val="088C5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DC42DF"/>
    <w:multiLevelType w:val="hybridMultilevel"/>
    <w:tmpl w:val="E3DE369C"/>
    <w:lvl w:ilvl="0" w:tplc="01B256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F446B9"/>
    <w:multiLevelType w:val="hybridMultilevel"/>
    <w:tmpl w:val="DE1A43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2212C7"/>
    <w:multiLevelType w:val="hybridMultilevel"/>
    <w:tmpl w:val="1B448118"/>
    <w:lvl w:ilvl="0" w:tplc="B2365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4C"/>
    <w:rsid w:val="00025FCD"/>
    <w:rsid w:val="00070143"/>
    <w:rsid w:val="000F49E7"/>
    <w:rsid w:val="00111E17"/>
    <w:rsid w:val="001400F1"/>
    <w:rsid w:val="00144FDE"/>
    <w:rsid w:val="001D1582"/>
    <w:rsid w:val="002268DA"/>
    <w:rsid w:val="00232495"/>
    <w:rsid w:val="002A356D"/>
    <w:rsid w:val="002B2564"/>
    <w:rsid w:val="003004B1"/>
    <w:rsid w:val="003117EE"/>
    <w:rsid w:val="00382DE2"/>
    <w:rsid w:val="003B22AD"/>
    <w:rsid w:val="003B76BE"/>
    <w:rsid w:val="004163A8"/>
    <w:rsid w:val="004A0479"/>
    <w:rsid w:val="004A729C"/>
    <w:rsid w:val="004E396D"/>
    <w:rsid w:val="00513995"/>
    <w:rsid w:val="00557216"/>
    <w:rsid w:val="005708C3"/>
    <w:rsid w:val="00582DDB"/>
    <w:rsid w:val="00616CF4"/>
    <w:rsid w:val="006A3159"/>
    <w:rsid w:val="006B67EC"/>
    <w:rsid w:val="006E7B45"/>
    <w:rsid w:val="00791610"/>
    <w:rsid w:val="00853453"/>
    <w:rsid w:val="008652DF"/>
    <w:rsid w:val="008C5BE3"/>
    <w:rsid w:val="00920857"/>
    <w:rsid w:val="00951BA1"/>
    <w:rsid w:val="00980927"/>
    <w:rsid w:val="009B374C"/>
    <w:rsid w:val="00A52ED2"/>
    <w:rsid w:val="00B32C83"/>
    <w:rsid w:val="00B92A28"/>
    <w:rsid w:val="00BD0CD6"/>
    <w:rsid w:val="00BE3CD7"/>
    <w:rsid w:val="00DA1FCF"/>
    <w:rsid w:val="00DB3B5F"/>
    <w:rsid w:val="00DB4843"/>
    <w:rsid w:val="00DB78F2"/>
    <w:rsid w:val="00EC54EA"/>
    <w:rsid w:val="00EC5624"/>
    <w:rsid w:val="00ED2BF1"/>
    <w:rsid w:val="00F75022"/>
    <w:rsid w:val="00F84AC7"/>
    <w:rsid w:val="00FA1A05"/>
    <w:rsid w:val="00FC72C0"/>
    <w:rsid w:val="00F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297DB28-4149-4D55-88FC-A4B96302C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E1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paragraph" w:customStyle="1" w:styleId="standard1">
    <w:name w:val="standard 1"/>
    <w:basedOn w:val="Nagwek4"/>
    <w:rsid w:val="00111E17"/>
    <w:pPr>
      <w:keepLines w:val="0"/>
      <w:widowControl/>
      <w:autoSpaceDE/>
      <w:autoSpaceDN/>
      <w:spacing w:before="0"/>
    </w:pPr>
    <w:rPr>
      <w:rFonts w:ascii="Garamond" w:eastAsia="Times New Roman" w:hAnsi="Garamond" w:cs="Times New Roman"/>
      <w:i w:val="0"/>
      <w:iCs w:val="0"/>
      <w:color w:val="auto"/>
      <w:sz w:val="32"/>
      <w:szCs w:val="20"/>
      <w:lang w:val="pl-PL"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11E17"/>
    <w:rPr>
      <w:rFonts w:ascii="Novel Pro" w:eastAsia="Novel Pro" w:hAnsi="Novel Pro" w:cs="Novel Pro"/>
      <w:sz w:val="14"/>
      <w:szCs w:val="1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E17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FD3B6-6DE6-490E-A188-9446D8DE0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1170</Words>
  <Characters>7025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 Iwaniuk</dc:creator>
  <cp:lastModifiedBy>Anna Czochra</cp:lastModifiedBy>
  <cp:revision>3</cp:revision>
  <cp:lastPrinted>2017-07-10T13:59:00Z</cp:lastPrinted>
  <dcterms:created xsi:type="dcterms:W3CDTF">2018-08-28T07:29:00Z</dcterms:created>
  <dcterms:modified xsi:type="dcterms:W3CDTF">2018-08-28T07:38:00Z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